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r w:rsidRPr="007D7F69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A0DE29A" wp14:editId="61BB0A41">
            <wp:extent cx="6426200" cy="8164830"/>
            <wp:effectExtent l="0" t="0" r="0" b="7620"/>
            <wp:docPr id="1" name="Рисунок 1" descr="C:\Users\user\Desktop\инстру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струк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D7F6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Инструкция по организации охраны жизни и здоровья воспитанников во время пребывания в ДОУ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6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Трудовой кодекс РФ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7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Межгосударственный стандарт ГОСТ Р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8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9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Межгосударственный стандарт ГOCT 12.0.004-2015. Система стандартов безопасности труда. Организация обучения безопасности труда. Общие положения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0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Межгосударственный стандарт ГОСТ 12.0.230.1-2015. Система стандартов безопасности труда. Системы управления охраной труда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1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Методические рекомендации по разработке инструкций по охране труда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2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3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Приказ Министерства труда и социальной защиты РФ от 29 октября 2021 г. N 776н "Об утверждении Примерного положения о системе управления охраной труда"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4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5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6" w:tgtFrame="_blank" w:history="1">
        <w:r w:rsidRPr="007D7F69">
          <w:rPr>
            <w:rFonts w:ascii="Times New Roman" w:eastAsia="Times New Roman" w:hAnsi="Times New Roman" w:cs="Times New Roman"/>
            <w:color w:val="2B9900"/>
            <w:sz w:val="27"/>
            <w:szCs w:val="27"/>
            <w:u w:val="single"/>
            <w:bdr w:val="none" w:sz="0" w:space="0" w:color="auto" w:frame="1"/>
            <w:lang w:eastAsia="ru-RU"/>
          </w:rPr>
          <w:t>СанПиН 2.3/2.4.3590-20 "Санитарно-эпидемиологические требования к организации общественного питания населения"</w:t>
        </w:r>
      </w:hyperlink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Настоящая Инструкция по организации охраны жизни и здоровья воспитанников во время пребывания в дошкольной образовательной организации разработана в соответствии со ст. 30, 37, 41 Федерального закона № 273-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ФЗ  "</w:t>
      </w:r>
      <w:proofErr w:type="gramEnd"/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 и Письмом Министерства образования и науки РФ от 4 июня 2008 г. № 03-1423 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с учетом требований:</w:t>
      </w:r>
    </w:p>
    <w:p w:rsidR="007D7F69" w:rsidRPr="007D7F69" w:rsidRDefault="007D7F69" w:rsidP="007D7F6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1.2.3685-21 "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7D7F69" w:rsidRPr="007D7F69" w:rsidRDefault="007D7F69" w:rsidP="007D7F6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2.3/2.4.3590-20 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общественного питания населения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7D7F69" w:rsidRPr="007D7F69" w:rsidRDefault="007D7F69" w:rsidP="007D7F6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СП 2.4.3648-20 "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Дошкольное образовательной учреждение несет ответственность в установленном законодательством РФ порядке за жизнь и здоровье обучающихся, воспитанников (ст. 28, п.7 Федерального закона № 273-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ФЗ  "</w:t>
      </w:r>
      <w:proofErr w:type="gramEnd"/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").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Все без исключения педагогические работники несут персональную ответственность за охрану жизни и здоровья детей во время образовательного процесса.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Правила, изложенные в данной инструкции, обязательны для исполнения всеми работниками ДОУ.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безопасности к зданию и территории ДОУ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Дошкольные организации должны иметь собственную территорию для прогулок детей (отдельно для каждой группы). 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  на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одного ребенка, но не менее 20 м, песочницы, а также иные приспособления для игр.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Земельный участок дошкольного образовательного учреждения должен иметь ограждение из материалов, обладающих определенными характеристиками: быть безопасными, не содержать токсичных веществ, выдерживать высокую влажность, воздействие солнечных лучей, не нагреваться при высоких температурах, быть устойчивыми к химическим веществам и огню, эстетично выглядеть с внутренней и внешней стороны.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Планировка помещений ДОУ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Групповые ячейки размещаются не выше третьего этажа. Групповые ячейки для детей до 3-х лет располагаются на 1 этаже.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2.7. При размещении ДОУ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Туалеты дошкольной организации, организации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 Индивидуальные горшки маркируются по общему количеству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В умывальной зоне устанавливаются вешалки для детских полотенец (отдельно для рук и ног), количество которых должно соответствовать общему количеству воспитанников.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Входные двери должны быть оснащены звонком, иметь запор на высоте, недоступной ребенку и постоянно закрываться.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2.14.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 ДОУ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крылечки должны иметь высокие перила с прямыми вертикальными и часто расставленными планками.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Все открывающиеся окна должны открываться внутрь, закрепляться крючком, не иметь наружных решёток.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Не следует допускать наличия в дверях пружин и блоков. Двери должны быть на автоматическом доводчике.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Ограждающие устройства отопительных приборов должны быть выполнены из материалов, безвредных для здоровья детей. Ограждения из древесно-стружечных плит к использованию не допускаются.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2.18. Ямы на участке детского сада необходимо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засыпать;  мусорные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ящики нужно держать на запоре. На участке не должно быть опасных для жизни и здоровья детей предметов (не струганных досок, ящиков с торчащими гвоздями, обрывков электропровода, битого стекла, посуды, шприцев и др.). Нужно с систематической регулярностью проверять, нет ли на участке дошкольного 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заведения сухостойных деревьев, не допускать торчащих веток растений на участке.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Запрещается вбивать гвозди на уровне роста детей, пользоваться кнопками, острыми предметами. Цветочные горшки с комнатными растениями не должны находиться на высоте выше роста детей, на подоконниках.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2.20. Технические осмотры зданий должны быть систематическими (осмотр штукатурки, потолков, прочности балок, полов, лестниц, оконных рам, вентиляции, электроарматуры). Портреты, картины, шкафы, полки, зеркала,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огнетушители,  шкафы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для игрового строительного материала, вешалки, шкафы для одежды и полотенец должны прочно прикрепляться к стене, полу. Необходимо строго соблюдать маркировку мебели, посуды, ветоши.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Соблюдение требований безопасности персоналом ДОУ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Основная обязанность воспитателя – это охрана жизни и здоровья детей. Воспитатель при проведении занятий и других видов педагогической деятельности должен знать и выполнять:</w:t>
      </w:r>
    </w:p>
    <w:p w:rsidR="007D7F69" w:rsidRPr="007D7F69" w:rsidRDefault="007D7F69" w:rsidP="007D7F6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настоящую инструкцию по организации охраны жизни и здоровья воспитанников во время пребывания в ДОУ;</w:t>
      </w:r>
    </w:p>
    <w:p w:rsidR="007D7F69" w:rsidRPr="007D7F69" w:rsidRDefault="007D7F69" w:rsidP="007D7F6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санитарные нормы и правила содержания помещений дошкольного образовательного учреждения;</w:t>
      </w:r>
    </w:p>
    <w:p w:rsidR="007D7F69" w:rsidRPr="007D7F69" w:rsidRDefault="007D7F69" w:rsidP="007D7F6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о мерах пожарной безопасности в здании и на территории ДОУ;</w:t>
      </w:r>
    </w:p>
    <w:p w:rsidR="007D7F69" w:rsidRPr="007D7F69" w:rsidRDefault="007D7F69" w:rsidP="007D7F6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7D7F69" w:rsidRPr="007D7F69" w:rsidRDefault="007D7F69" w:rsidP="007D7F6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оказанию первой помощи пострадавшим.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Воспитателю категорически запрещается оставлять детей без присмотра. При необходимости отлучиться от детей на некоторый период воспитатель обязан предупредить младшего воспитателя, куда и насколько ему надо выйти из группы и попросить его оставить на время свои дела, чтобы присмотреть за детьми.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Воспитатель обязан знать состояние здоровья, группу здоровья каждого ребенка, строить свою работу с учетом его индивидуальных способностей, возможностей, здоровья.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Внешний вид воспитателя должен быть образцом для подражания детей и родителей.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3.6. Родители и другие лица, которые по их поручению приводят ребенка в детский сад, должны передать ребенка воспитателю или тому сотруднику детского сада, который принимает детей в этот день.  Вечером ребенка необходимо передать родителям,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лицам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находящимся в списке имеющих право забирать ребёнка из ДОУ или заранее договориться относительно тех лиц, которым они доверяют забирать ребенка из детского сада.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3.7.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Запрещается впускать на территорию детского сада неизвестных лиц без предъявления ими документа, удостоверяющего личность посетителя и его право на посещение учреждения.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Ежедневно до начала работы воспитатель должен сделать осмотр групповой комнаты, туалета, умывальной комнаты, спальни, приёмной, буфетной. Обо всех неисправностях мебели, оборудования или помещений немедленно поставить в известность заведующего хозяйством или заведующего ДОУ.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3.10. Воспитатели перед приёмом детей в группу, совершают обход своего участка и всех помещений группы, в случае обнаружения опасных предметов (стёкла, бутылки, палки и др.) педагог должен убрать их с территории немедленно, не допускается приём детей в непроверенное помещение или участок. В случае обнаружения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травмоопасных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построек, явлений (наледи, треснувшее дерево), мебели или оборудования, которое воспитатель не может убрать самостоятельно, необходимо принять меры по недопущению детей к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травмоопасному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месту или оборудованию, следует оградить это место.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Воспитатель обязан содержать свое место в чистоте, обеспечивать свободный доступ ко всем входам.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Воспитатель должен проводить работу с родителями о том, чтобы они контролировали наличие в карманах детей острых предметов, спичек, лекарств.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Воспитателю необходимо закрывать наружные двери после приема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3.14. Заведующий ДОУ и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завхоз  в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начале рабочего дня совершают технический осмотр всех помещений и территории детского сада, изучает тетрадь трёхступенчатого контроля, принимает меры по устранению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травмоопасных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ситуаций. Доводят до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сведения  воспитателей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 возможности использовать помещение, оборудование или участок для работы с детьми.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Другие сотрудники, работающие в отдельных помещениях или кабинетах (делопроизводитель, музыкальный руководитель, младшие воспитатели, уборщик служебных помещений, машинист по стирке белья, педагог дополнительного образования, рабочий по ремонту зданий и сооружений, дворник) производят осмотр рабочих мест, закреплённых за ними кабинетов, помещений, территории. В случае обнаружения поломки или неисправности немедленно принимают меры по обеспечению безопасности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3.16. Повар,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кладовщик  проверяют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перед рабочим днём всё оборудование и помещение пищеблока, кладовой, овощехранилища.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3.17. Сотрудники пищеблока обеспечивают недоступность проникновения посторонних лиц на пищеблок.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3.18. Обо всех поломках и неисправностях немедленно сообщают завхозу. Завхоз незамедлительно принимает меры для устранения поломок, неисправностей и т.д.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3.19. Завхозу необходимо осуществлять систематический контроль за исправностью водопровода, канализации, отопления, фрамуг, форточек, дверей.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3.20. Завхозу следить на участках за своевременной подрезкой деревьев; убирать участок от битого стекла, веток, сучков, корней, своевременно ремонтировать оборудование на участках, физкультурное оборудование должно быть устойчивым.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  участках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 должно быть опасных для детей предметов (не оструганных досок, торчащих гвоздей, обрывков электропровода).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во время нахождения детей в группе и на прогулочной площадке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При нахождении воспитанников в ДОУ необходимо оградить детей от воздействия следующих опасных и вредных факторов: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недостаточная освещенность и непродуманное размещение 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уголков книги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уголков для настольных игр, уголков по изобразительной деятельности могут привести к нарушению остроты зрения у детей;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неправильное хранение и использование медикаментов и средств дезинфекции, что может повлечь за собой отравления;</w:t>
      </w:r>
    </w:p>
    <w:p w:rsidR="007D7F69" w:rsidRPr="007D7F69" w:rsidRDefault="007D7F69" w:rsidP="007D7F6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Запрещается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держать в доступных детям местах: гвозди, иглы, кнопки, лезвия, ножницы, мелкие предметы, медикаменты и дезинфекционные средства;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пользоваться в группе: электроприборами, чайниками, электрокипятильниками, утюгами и т.д.;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брать детей на пищеблок за получением питания, поручать выносить мусор, отходы к общему контейнеру, доверять детям мыть полы и посуду;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посылать детей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каким-либо поручениями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без присмотра;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брать детей на процедуры, занятия без ведома воспитателя;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приносить в группу растворы или жидкости, пары которых опасны для здоровья; лекарства, таблетки;</w:t>
      </w:r>
    </w:p>
    <w:p w:rsidR="007D7F69" w:rsidRPr="007D7F69" w:rsidRDefault="007D7F69" w:rsidP="007D7F6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находиться в группе в верхней одежде и верхней обуви.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Ножницы для занятий с детьми должны быть с тупыми концами. Пользоваться ими дети могут только под руководством и наблюдением воспитателя.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Электропроводка должна быть изолированной, электроприборы – недоступными для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Воспитатель должен требовать от родителей, чтобы обувь детей имела закрытую часть пятки. Запрещается детям носить тапки домашние и чешки, обувь, не подлежащую влажной обработке. Воспитатель должен следить, чтобы обувь была опрятная, чистая и всегда застегнута.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4.8. Используя на занятиях иглы, вязальные спицы, крючки и ножницы (со средней группы), научить пользоваться данными предметами каждого ребенка и работать под наблюдением взрослого.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4.9. Необходимо воспитателям строго следить за играми и шалостями детей, которые могут привести к травматизму.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4.10. Требования к организации питания: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подавать пищу из кухни нужно в то время, когда в коридорах и на лестницах нет детей;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раздачи пищи не допускать игр с детьми около обеденных столов;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приносить в групповые комнаты кипяток;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температура горячей пищи при выдаче не должна превышать 70 °С;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время приема пищи необходимо следить за правильным использованием воспитанниками столовых приборов;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избежание травм столовая и чайная посуда не должна иметь трещин и сколов;</w:t>
      </w:r>
    </w:p>
    <w:p w:rsidR="007D7F69" w:rsidRPr="007D7F69" w:rsidRDefault="007D7F69" w:rsidP="007D7F6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приносить в детский сад продукты питания из дома, для угощения детей.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4.11. На участке воспитатель обязан постоянно находиться вместе с детьми: проводить наблюдение, подвижные игры, физические упражнения, игры по желанию детей и другую педагогическую работу. Воспитатель обеспечивает безопасность каждого ребёнка группы.  Обучает детей правилам безопасного поведения, производит страховку детей в момент выполнения детьми сложных или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опасных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сложных упражнений: лазанья по лестницам, подъём и скатывание с гор, бег, прыжки, качание на качелях, катание по ледяным 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дорожкам и др. Воспитатель не допускает нахождения детей без своего присутствия за верандами, кустарниками, стенами построек и др.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4.12. Воспитатели снимают одежду с детей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аккуратно,  не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торопясь (особенно с узкими рукавами, горловиной) стараясь не причинять ребёнку боли и  неудобства.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4.13. Необходимо следить за тем, чтобы дети не ели никаких грибов, ягод, травы, листьев. Воспитатель должен следить за тем, чтобы дети не приносили жевательную резинку, не брали в рот посторонние предметы (детали конструктора, косточки от ягод и фруктов, пуговицы и др.), следить за тем, чтобы во рту детей ничего не было во время занятий, игр, движений и сна.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4.14. Физкультурное оборудование в физкультурном зале, на физкультурной площадке и все малые формы на прогулочных участках должны соответствовать требованиям безопасности. Своевременно сообщать о неисправностях заведующему хозяйством.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4.15. Воспитатель, прежде чем допустить детей на то или иное оборудование или снаряд должен проверить его устойчивость, прочность и безопасность для жизни и здоровья детей. При выполнении физических упражнений в ходе физкультурных мероприятий (занятий, досугов, праздников и др.) воспитатель обязан обеспечивать безопасность и страховку детей во время занятий.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4.16. Не допускается самостоятельное, без непосредственного присутствия и страховки выполнение детьми упражнений на лестницах, ледяных дорожках, горках, качелях и др. Всё оборудование детского участка для игр и занятий детей должно строго соответствовать требованиям СанПиН и технике безопасности.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4.17. Отправляясь на экскурсию или на прогулку по улице, воспитатель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обязан  соблюдать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 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Инструкцию по охране жизни и здоровья воспитанников на прогулочных площадках, во время целевых прогулок и экскурсий, труда на огороде, в цветнике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4.18. Необходимо очищать от снега и льда и посыпать песком дорожки, площадки на участках. Нельзя разрешать катание на ногах с ледяных горок. Крыши всех построек на участках должны своевременно очищаться от снега; нельзя допускать образования по краям крыш свисающих глыб снега и сосулек.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4.19. Организовать тщательное наблюдение за тем, чтобы дети не уходили за пределы участка. В случае самовольного ухода немедленно сообщить заведующему ДОУ, отправить на его розыски сотрудника, сообщить в органы полиции, родителям.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Соблюдение требований безопасности при аварийных и чрезвычайных ситуациях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 учреждении должны строго соблюдаться основные положения Федерального закона 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 пожарной безопасности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 Каждый сотрудник учреждения обязан знать и соблюдать правила пожарной безопасности, уметь обращаться с огнетушителем и знать план эвакуации детей на случай пожара.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5.2. В ДОУ должны иметься поэтажные планы эвакуации при пожаре, система оповещения, адреса и номера телефонов администрации учреждения, пожарной части, скорой помощи и других аварийных служб.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Воспитатель обязан иметь адреса детей, сведения о месте работы родителей, контактные телефоны родителей и близких родственников.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Персонал детского сада должен быть подготовлен к оказанию первой помощи при внезапном заболевании ребёнка или несчастном случае.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5.5. В случае возникновения аварийных ситуаций, необходимо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принять  меры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немедленно оказать первую помощь пострадавшему, сообщить об этом заведующему ДОУ, при необходимости отправить пострадавшего в ближайшее медицинское учреждение.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Работникам не приступать к работе при плохом самочувствии или внезапной болезни.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5.7. В случае появления неисправности электроприборов (посторонний шум, искрение и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запах  гари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 немедленно отключить электроприбор от электросети и сообщить об этом завхозу,  заведующему ДОУ; работу продолжать только после устранения возникшей неисправности.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5.8. При возникновении пожара немедленно сообщить об этом лицу, ответственному за пожарную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безопасность,  заведующему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ДОУ и в ближайшую пожарную часть, приступить к эвакуации воспитанников в соответствии с планом эвакуации.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5.9. При получении травмы немедленно обратиться за медицинской помощью в медицинский кабинет и сообщить об этом заведующему ДОУ.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Соблюдение санитарно-эпидемиологических правил и норм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6.1. Сотрудники ДОУ обязаны постоянно следить за температурным режимом, влажностью воздуха, естественным и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искусственным  освещением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помещениях, где находятся дети.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Уровни искусственной освещенности для детей дошкольного возраста в групповых (игровых) - не менее 400 люкс.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6.3. Все источники искусственного освещения должны содержаться в исправном состоянии и не должны содержать следы загрязнений. Не допускается в одном помещении использовать разные типы ламп, а также лампы с разным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светооизлучением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6.4. Осветительные приборы должны иметь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светорассеиваюшую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6.5.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6.6. При использовании электронных средств обучения (ЭСО)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6.7. Общая продолжительность ночного сна для детей дошкольного возраста – 12 часов для детей до 3 лет и 11 часов для 4-7 лет. Продолжительность дневного сна – 3 часа для детей до 3 лет и 2,5 часа для 4-7 лет.  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6.8. Перед сном не рекомендуется проведение подвижных эмоциональных игр. 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6.9. Во время сна детей присутствие воспитателя (или его помощника) в спальне обязательно. Не допускается удерживание в постели детей, проснувшихся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задолго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 окончания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сончаса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также недопустимо запрещать детям, покидать постель с целью посещения туалета.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6.10. С целью сохранения и укрепления здоровья детей в ДОУ проводятся прогулки на открытом воздухе. Ежедневная продолжительность прогулки детей до 7 лет составляет не менее 3 часов в день. При температуре воздуха ниже минус 15°С и скорости ветра более 7 м/с продолжительность прогулки для детей сокращают. Суммарный объем двигательной активности, не менее 1 часа в день. Утренняя зарядка 10 минут.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6.11. Для обеспечения высокого оздоровительного эффекта прогулки воспитателю необходимо:</w:t>
      </w:r>
    </w:p>
    <w:p w:rsidR="007D7F69" w:rsidRPr="007D7F69" w:rsidRDefault="007D7F69" w:rsidP="007D7F6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допускать беспричинного сокращения времени пребывания детей на свежем воздухе;</w:t>
      </w:r>
    </w:p>
    <w:p w:rsidR="007D7F69" w:rsidRPr="007D7F69" w:rsidRDefault="007D7F69" w:rsidP="007D7F6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обеспечивать достаточно высокую двигательную активность воспитанников ДОУ во время прогулки при условии рациональной одежды детей, соблюдать методические требования и методику организации и проведения прогулок на свежем воздухе (наблюдение, подвижные игры с группой, с подгруппой, труд, индивидуальная работа, самостоятельная деятельность детей по их интересам).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6.12. В жаркое время во избежание перегрева воспитанники детского сада должны носить лёгкие головные уборы. Солнечные ванные делаются только по назначению врача и под наблюдением медицинского персонала.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6.13. Образовательный процесс в дошкольном учреждении должен соответствовать программам и технологиям обучения и воспитания, методам и организации учебно-воспитательного процесса возрастным и психофизиологическим возможностям детей. Программы, методики и режимы воспитания и обучения в части гигиенических требований допускаются к использованию при наличии санитарно-эпидемиологического заключения о соответствии их санитарным правилам.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6.14. Занятия для детей дошкольного возраста должны проводиться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соответствии с параметрами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указанными в таблице:</w:t>
      </w:r>
    </w:p>
    <w:tbl>
      <w:tblPr>
        <w:tblW w:w="1360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5048"/>
        <w:gridCol w:w="3242"/>
        <w:gridCol w:w="4197"/>
      </w:tblGrid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Возраст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дневной суммарной образовательной нагрузки, не более: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занятий, не более: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перерывов между занятиями, не менее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1,5 - 3 года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vMerge w:val="restart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 мин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 года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CECEC"/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 лет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CECEC"/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 лет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 или 75 мин при организации 1 занятия после дневного сна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CECEC"/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0" w:type="auto"/>
            <w:vMerge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ECECEC"/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6.15. В группах для детей старше 5 лет допускается использование электронных средств обучения (интерактивные доски, компьютеры, планшеты, ноутбуки). Продолжительность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использования  ЭСО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указана в таблице:</w:t>
      </w:r>
    </w:p>
    <w:tbl>
      <w:tblPr>
        <w:tblW w:w="1360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2"/>
        <w:gridCol w:w="4015"/>
        <w:gridCol w:w="2301"/>
      </w:tblGrid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Электронные средства обучения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Суммарно в день,</w:t>
            </w:r>
          </w:p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более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уроке,</w:t>
            </w:r>
          </w:p>
          <w:p w:rsidR="007D7F69" w:rsidRPr="007D7F69" w:rsidRDefault="007D7F69" w:rsidP="007D7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более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(6-7 лет)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(6-7 лет)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7D7F69" w:rsidRPr="007D7F69" w:rsidTr="007D7F69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7F69" w:rsidRPr="007D7F69" w:rsidRDefault="007D7F69" w:rsidP="007D7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</w:tbl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6.16. Минимальная диагональ ЭСО должна составлять для монитора персонального компьютера и ноутбука - не менее 39,6 см, планшета - 26,6 см., интерактивной доски –  не менее 165,1 см. Использование мониторов на основе электронно-лучевых трубок в образовательных организациях не допускается.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6.17. Занятия с использованием ЭСО в возрастных группах до 5 лет не проводятся.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6.18. Игрушки, используемые на прогулке, хранятся отдельно от игрушек, используемых в группе, в специально отведенных местах.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6.19. Каждый ребенок должен иметь индивидуальную расческу, полотенце, салфетку, постельные принадлежности, зубную щетку.</w:t>
      </w:r>
    </w:p>
    <w:p w:rsidR="007D7F69" w:rsidRPr="007D7F69" w:rsidRDefault="007D7F69" w:rsidP="007D7F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6.20. Хранение и приготовление пищи нужно осуществлять в полном соответствии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 СанПиН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2.3/2.4.3590-20 «</w:t>
      </w:r>
      <w:r w:rsidRPr="007D7F69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общественного питания населения</w:t>
      </w: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6.21. Во избежание желудочных заболеваний и пищевых отравлений заведующий ДОУ, медицинский персонал и повар обязаны ежедневно производить контроль доброкачественности выдаваемых на кухню продуктов. Обязательна ежедневная проба пищи заведующим детским садом, медицинским персоналом перед подачей её детям, с отметкой результатов в специально предназначенной для этого тетради.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6.22. Лица с признаками инфекционных заболеваний в ДОУ не допускаются. При выявлении лиц с признаками инфекционных заболеваний во время их нахождения в ДОУ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</w:t>
      </w:r>
      <w:proofErr w:type="gram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вспомогательных,  до</w:t>
      </w:r>
      <w:proofErr w:type="gram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6.23. После перенесенного заболевания дети допускаются к посещению при наличии медицинского заключения (медицинской справки).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6.24. В целях предотвращения возникновения и распространения инфекционных и неинфекционных заболеваний и пищевых отравлений в ДОУ проводятся:</w:t>
      </w:r>
    </w:p>
    <w:p w:rsidR="007D7F69" w:rsidRPr="007D7F69" w:rsidRDefault="007D7F69" w:rsidP="007D7F6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7D7F69" w:rsidRPr="007D7F69" w:rsidRDefault="007D7F69" w:rsidP="007D7F6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7D7F69" w:rsidRPr="007D7F69" w:rsidRDefault="007D7F69" w:rsidP="007D7F6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акарицидных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 обработок и контроль за их проведением;</w:t>
      </w:r>
    </w:p>
    <w:p w:rsidR="007D7F69" w:rsidRPr="007D7F69" w:rsidRDefault="007D7F69" w:rsidP="007D7F6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 w:rsidR="007D7F69" w:rsidRPr="007D7F69" w:rsidRDefault="007D7F69" w:rsidP="007D7F6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организация профилактических осмотров воспитанников и проведение профилактических прививок.</w:t>
      </w:r>
    </w:p>
    <w:p w:rsidR="007D7F69" w:rsidRPr="007D7F69" w:rsidRDefault="007D7F69" w:rsidP="007D7F69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6.25. В целях профилактики контагиозных гельминтозов (энтеробиоза и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гименолепидоза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 в ДОУ организуются и проводятся меры по предупреждению передачи возбудителя и оздоровлению источников инвазии:</w:t>
      </w:r>
    </w:p>
    <w:p w:rsidR="007D7F69" w:rsidRPr="007D7F69" w:rsidRDefault="007D7F69" w:rsidP="007D7F6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все выявленные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инвазированные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регистрируются в журнале для инфекционных заболеваний;</w:t>
      </w:r>
    </w:p>
    <w:p w:rsidR="007D7F69" w:rsidRPr="007D7F69" w:rsidRDefault="007D7F69" w:rsidP="007D7F6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лечения;</w:t>
      </w:r>
    </w:p>
    <w:p w:rsidR="007D7F69" w:rsidRPr="007D7F69" w:rsidRDefault="007D7F69" w:rsidP="007D7F6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и одновременным отбором смывов с объектов внешней среды на </w:t>
      </w:r>
      <w:proofErr w:type="spellStart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паразитологические</w:t>
      </w:r>
      <w:proofErr w:type="spellEnd"/>
      <w:r w:rsidRPr="007D7F6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показатели.</w:t>
      </w:r>
    </w:p>
    <w:p w:rsidR="00B64707" w:rsidRDefault="00B64707"/>
    <w:sectPr w:rsidR="00B6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3F0"/>
    <w:multiLevelType w:val="multilevel"/>
    <w:tmpl w:val="250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74065"/>
    <w:multiLevelType w:val="multilevel"/>
    <w:tmpl w:val="696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75859"/>
    <w:multiLevelType w:val="multilevel"/>
    <w:tmpl w:val="3B5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26D3C"/>
    <w:multiLevelType w:val="multilevel"/>
    <w:tmpl w:val="EF8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093B24"/>
    <w:multiLevelType w:val="multilevel"/>
    <w:tmpl w:val="35B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BA0CA5"/>
    <w:multiLevelType w:val="multilevel"/>
    <w:tmpl w:val="AEF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1D6E45"/>
    <w:multiLevelType w:val="multilevel"/>
    <w:tmpl w:val="548E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F3669"/>
    <w:multiLevelType w:val="multilevel"/>
    <w:tmpl w:val="1AD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69"/>
    <w:rsid w:val="007D7F69"/>
    <w:rsid w:val="00B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5A60"/>
  <w15:chartTrackingRefBased/>
  <w15:docId w15:val="{5362D9F3-16E0-4086-9C50-3F0FDCF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6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u.su/files/docs/SP23243590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u.su/files/docs/SP123685_21.pdf" TargetMode="External"/><Relationship Id="rId10" Type="http://schemas.openxmlformats.org/officeDocument/2006/relationships/hyperlink" Target="https://dou.su/files/docs/GOST1202301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4580</Words>
  <Characters>26112</Characters>
  <Application>Microsoft Office Word</Application>
  <DocSecurity>0</DocSecurity>
  <Lines>217</Lines>
  <Paragraphs>61</Paragraphs>
  <ScaleCrop>false</ScaleCrop>
  <Company/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2022-11-17T08:36:00Z</dcterms:created>
  <dcterms:modified xsi:type="dcterms:W3CDTF">2022-11-17T08:46:00Z</dcterms:modified>
</cp:coreProperties>
</file>